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February 8,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February 8,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Regular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 BPasscode: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NONE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01/04/2022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______SV_____, at  __6:17__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__X__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__X__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Sanderson</w:t>
        <w:tab/>
        <w:t xml:space="preserve">            </w:t>
        <w:tab/>
        <w:t xml:space="preserve">            </w:t>
        <w:tab/>
        <w:t xml:space="preserve">__X__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_X___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Sandra Palafox,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_CT__/_PA__     5__/0__/_0_</w:t>
      </w:r>
    </w:p>
    <w:p w:rsidR="00000000" w:rsidDel="00000000" w:rsidP="00000000" w:rsidRDefault="00000000" w:rsidRPr="00000000" w14:paraId="00000028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Thursday, January 11, 2022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                   </w:t>
        <w:tab/>
        <w:tab/>
        <w:tab/>
        <w:tab/>
        <w:t xml:space="preserve">_TF__/__MS_     _5_/_0__/_0_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M. Sanderson is now a substitute teacher for us. He also talked about getting another quote for the blacktop.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R. Davis talked about the COVID rates.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January 2022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_TF__/_CT_     _5_/_0_/_0_</w:t>
      </w:r>
    </w:p>
    <w:p w:rsidR="00000000" w:rsidDel="00000000" w:rsidP="00000000" w:rsidRDefault="00000000" w:rsidRPr="00000000" w14:paraId="00000034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9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Discuss and consider approval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Supplement to the Annual Update for 2021-22 LCAP.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  <w:tab/>
        <w:tab/>
        <w:tab/>
        <w:tab/>
        <w:tab/>
        <w:tab/>
        <w:t xml:space="preserve">__TF_/__PA_   __5__/__0__/__0_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updated J13A Form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__TF_/__PA_   __5__/__0__/_0__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3.</w:t>
        <w:tab/>
        <w:t xml:space="preserve">Consider acceptance of the 2020-21 Financial Audit for FUESD</w:t>
      </w:r>
    </w:p>
    <w:p w:rsidR="00000000" w:rsidDel="00000000" w:rsidP="00000000" w:rsidRDefault="00000000" w:rsidRPr="00000000" w14:paraId="0000003F">
      <w:pPr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__TF_/__PA_   __5__/__0__/_0__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4.</w:t>
        <w:tab/>
        <w:t xml:space="preserve">Discuss and approve the following updated board policies: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BP/AR/E 1330 Use of School Facilities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BP/AR3513.3 Tobacco-Free Schools 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5131.62 Tobacco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_TF__/__MS_   _5_/__0__/_0_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_Tuesday, March 22, 2022__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Estimates and Quotes for resurfacing the black top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Estimates and Quotes for a Mobile Modular Classroom/Gym/Cafeteria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 xml:space="preserve">RD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___6:38__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2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