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March 15,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March 15,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03/11/2022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_____SV________, at  __6:17__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_X___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__X__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_TF__/_MS__     _5__/_0__/_0_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Thursday, February 8,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 xml:space="preserve">_CT__/_PA__     _5__/_0__/_0__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Rachel Davis congratulated  board member Mike Sanderson on becoming a substitute teacher.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February 2022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_TF__/_MS__     _5__/_0__/_0_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and approval of the 2021-22 2nd Interim Report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 xml:space="preserve">__PA_/_CT__   _5__/__0_/__0_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paying a one time COVID 19 Employee Retention/Recruitment Stipend of $3,000 to Certificated and Classified Staff.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_TF__/_CT__   _5___/__0__/_0__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Approval of the  Consolidated Application (CARS) 2021-22 Certification of assurances reporting.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_TF__/_PA__   __5__/__0__/__0_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Discuss and approve the updated Interdistrict Attendance Criteria, Terms and Conditions</w:t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_TF__/_MS__     _5__/_0__/_0_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5.</w:t>
        <w:tab/>
        <w:t xml:space="preserve">Discuss and approve the 2022-23 School Academic Calendar</w:t>
      </w:r>
    </w:p>
    <w:p w:rsidR="00000000" w:rsidDel="00000000" w:rsidP="00000000" w:rsidRDefault="00000000" w:rsidRPr="00000000" w14:paraId="0000004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_TF__/__CT_   __5__/__0__/_0_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_Tuesday, April 26, 2022__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resurfacing the black top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 xml:space="preserve">Rachel Davis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__6:45___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